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39DC4B88" w:rsidR="00827C3B" w:rsidRPr="00BF13C1" w:rsidRDefault="00AE0C26" w:rsidP="00A25A40">
      <w:pPr>
        <w:pStyle w:val="Titolocopertina"/>
      </w:pPr>
      <w:r>
        <w:t>GARA PER</w:t>
      </w:r>
      <w:r w:rsidR="00827C3B" w:rsidRPr="00BF13C1">
        <w:t xml:space="preserve"> </w:t>
      </w:r>
      <w:r w:rsidR="00A25A40" w:rsidRPr="00A25A40">
        <w:t>L’AFFIDAMENTO IN CONCESSIONE DEI SERVIZI MUSEALI PRESSO LE GALLERIE DEGLI UFFIZI, I MUSEI DEL POLO MUSEALE DELLA TOSCANA E IL MUSEO DELL’OPIFICIO DELLE PIETRE DURE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3A5C77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7BEFE335" w:rsidR="00BE2716" w:rsidRPr="00A25A40" w:rsidRDefault="0023074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A25A40" w:rsidRPr="00AA0CE5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</w:p>
    <w:p w14:paraId="7DE3EDE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6473E1D6" w:rsidR="00735A27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Roma,</w:t>
      </w:r>
      <w:r w:rsidRPr="00A25A4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1574C">
        <w:rPr>
          <w:rFonts w:asciiTheme="minorHAnsi" w:hAnsiTheme="minorHAnsi" w:cs="Arial"/>
          <w:bCs/>
          <w:sz w:val="20"/>
          <w:szCs w:val="20"/>
        </w:rPr>
        <w:t>14</w:t>
      </w:r>
      <w:bookmarkStart w:id="0" w:name="_GoBack"/>
      <w:bookmarkEnd w:id="0"/>
      <w:r w:rsidR="00A25A40" w:rsidRPr="00A25A40">
        <w:rPr>
          <w:rFonts w:asciiTheme="minorHAnsi" w:hAnsiTheme="minorHAnsi" w:cs="Arial"/>
          <w:bCs/>
          <w:sz w:val="20"/>
          <w:szCs w:val="20"/>
        </w:rPr>
        <w:t>/02/2020</w:t>
      </w:r>
    </w:p>
    <w:p w14:paraId="1434046E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7EDE2D3D" w14:textId="07F8CF4C" w:rsidR="00A25A40" w:rsidRPr="00A25A40" w:rsidRDefault="00A25A40" w:rsidP="00A25A40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</w:t>
      </w:r>
      <w:r w:rsidRPr="00A25A40">
        <w:rPr>
          <w:rFonts w:asciiTheme="minorHAnsi" w:hAnsiTheme="minorHAnsi" w:cs="Arial"/>
          <w:bCs/>
          <w:sz w:val="20"/>
          <w:szCs w:val="20"/>
        </w:rPr>
        <w:t>ll’ambito del Disciplinare siglato dalla Consip S.p.A. con il Ministero per i Beni e le Attività Culturali</w:t>
      </w:r>
      <w:r w:rsidR="007A7651">
        <w:rPr>
          <w:rFonts w:asciiTheme="minorHAnsi" w:hAnsiTheme="minorHAnsi" w:cs="Arial"/>
          <w:bCs/>
          <w:sz w:val="20"/>
          <w:szCs w:val="20"/>
        </w:rPr>
        <w:t xml:space="preserve"> e per il Turismo</w:t>
      </w:r>
      <w:r w:rsidRPr="00A25A40">
        <w:rPr>
          <w:rFonts w:asciiTheme="minorHAnsi" w:hAnsiTheme="minorHAnsi" w:cs="Arial"/>
          <w:bCs/>
          <w:sz w:val="20"/>
          <w:szCs w:val="20"/>
        </w:rPr>
        <w:t>, la Consip S.p.A. intende bandire gare per l’affidamento dei servizi di “assistenza culturale e di ospitalità per il pubblico” ai sensi dell’art. 117 del D.Lgs. 42/2004, presso i Musei Statali (DM 23/12/2014 e ss.mm.ii.)</w:t>
      </w:r>
      <w:r w:rsidR="00794973">
        <w:rPr>
          <w:rFonts w:asciiTheme="minorHAnsi" w:hAnsiTheme="minorHAnsi" w:cs="Arial"/>
          <w:bCs/>
          <w:sz w:val="20"/>
          <w:szCs w:val="20"/>
        </w:rPr>
        <w:t>.</w:t>
      </w:r>
    </w:p>
    <w:p w14:paraId="2C7A7E6A" w14:textId="77777777" w:rsidR="00A25A40" w:rsidRPr="00A25A40" w:rsidRDefault="00A25A40" w:rsidP="00A25A40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25A40">
        <w:rPr>
          <w:rFonts w:asciiTheme="minorHAnsi" w:hAnsiTheme="minorHAnsi" w:cs="Arial"/>
          <w:bCs/>
          <w:sz w:val="20"/>
          <w:szCs w:val="20"/>
        </w:rPr>
        <w:t>Il presente documento di consultazione del mercato ha l’obiettivo di:</w:t>
      </w:r>
    </w:p>
    <w:p w14:paraId="725068B8" w14:textId="0E8CD45E" w:rsidR="00A25A40" w:rsidRPr="00A25A40" w:rsidRDefault="00A25A40" w:rsidP="00A25A40">
      <w:pPr>
        <w:pStyle w:val="Paragrafoelenco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25A40">
        <w:rPr>
          <w:rFonts w:asciiTheme="minorHAnsi" w:hAnsiTheme="minorHAnsi" w:cs="Arial"/>
          <w:bCs/>
          <w:sz w:val="20"/>
          <w:szCs w:val="20"/>
        </w:rPr>
        <w:t>garantire la massima pubblicità alle iniziative per assicurare la più ampia diffusione delle informazioni;</w:t>
      </w:r>
    </w:p>
    <w:p w14:paraId="11CE4E3D" w14:textId="483669DD" w:rsidR="00A25A40" w:rsidRPr="00A25A40" w:rsidRDefault="00A25A40" w:rsidP="00A25A40">
      <w:pPr>
        <w:pStyle w:val="Paragrafoelenco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25A40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14:paraId="329C2326" w14:textId="2F1D6B20" w:rsidR="00A25A40" w:rsidRPr="00A25A40" w:rsidRDefault="00A25A40" w:rsidP="00A25A40">
      <w:pPr>
        <w:pStyle w:val="Paragrafoelenco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25A40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2AFD29FE" w14:textId="0813EDE7" w:rsidR="00A25A40" w:rsidRPr="00A25A40" w:rsidRDefault="00A25A40" w:rsidP="00A25A40">
      <w:pPr>
        <w:pStyle w:val="Paragrafoelenco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25A40">
        <w:rPr>
          <w:rFonts w:asciiTheme="minorHAnsi" w:hAnsiTheme="minorHAnsi" w:cs="Arial"/>
          <w:bCs/>
          <w:sz w:val="20"/>
          <w:szCs w:val="20"/>
        </w:rPr>
        <w:t>r</w:t>
      </w:r>
      <w:r>
        <w:rPr>
          <w:rFonts w:asciiTheme="minorHAnsi" w:hAnsiTheme="minorHAnsi" w:cs="Arial"/>
          <w:bCs/>
          <w:sz w:val="20"/>
          <w:szCs w:val="20"/>
        </w:rPr>
        <w:t>icevere</w:t>
      </w:r>
      <w:r w:rsidRPr="00A25A40">
        <w:rPr>
          <w:rFonts w:asciiTheme="minorHAnsi" w:hAnsiTheme="minorHAnsi" w:cs="Arial"/>
          <w:bCs/>
          <w:sz w:val="20"/>
          <w:szCs w:val="20"/>
        </w:rPr>
        <w:t xml:space="preserve"> da</w:t>
      </w:r>
      <w:r>
        <w:rPr>
          <w:rFonts w:asciiTheme="minorHAnsi" w:hAnsiTheme="minorHAnsi" w:cs="Arial"/>
          <w:bCs/>
          <w:sz w:val="20"/>
          <w:szCs w:val="20"/>
        </w:rPr>
        <w:t xml:space="preserve"> parte dei soggetti interessati</w:t>
      </w:r>
      <w:r w:rsidRPr="00A25A40">
        <w:rPr>
          <w:rFonts w:asciiTheme="minorHAnsi" w:hAnsiTheme="minorHAnsi" w:cs="Arial"/>
          <w:bCs/>
          <w:sz w:val="20"/>
          <w:szCs w:val="20"/>
        </w:rPr>
        <w:t xml:space="preserve"> osservazioni e suggerimenti per una più compiuta conoscenza del mercato.</w:t>
      </w:r>
    </w:p>
    <w:p w14:paraId="52E25F38" w14:textId="51C122C5" w:rsidR="00F8539B" w:rsidRPr="008A1AFD" w:rsidRDefault="00F8539B" w:rsidP="00A25A40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A25A40" w:rsidRPr="00A25A40">
        <w:rPr>
          <w:rFonts w:asciiTheme="minorHAnsi" w:hAnsiTheme="minorHAnsi" w:cs="Arial"/>
          <w:bCs/>
          <w:sz w:val="20"/>
          <w:szCs w:val="20"/>
        </w:rPr>
        <w:t>GARA PER L’AFFIDAMENTO IN CONCESSIONE DEI SERVIZI MUSEALI PRESSO LE GALLERIE DEGLI UFFIZI, I MUSEI DEL POLO MUSEALE DELLA TOSCANA E IL MUSEO DELL’OPIFICIO DELLE PIETRE DURE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A25A40" w:rsidRPr="00AA0CE5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  <w:r w:rsidR="00A25A40" w:rsidRPr="00A25A40">
        <w:rPr>
          <w:rFonts w:asciiTheme="minorHAnsi" w:hAnsiTheme="minorHAnsi" w:cs="Arial"/>
          <w:bCs/>
          <w:sz w:val="20"/>
          <w:szCs w:val="20"/>
        </w:rPr>
        <w:t>.</w:t>
      </w:r>
      <w:r w:rsidRPr="00A25A40">
        <w:rPr>
          <w:rFonts w:asciiTheme="minorHAnsi" w:hAnsiTheme="minorHAnsi" w:cs="Arial"/>
          <w:bCs/>
          <w:sz w:val="20"/>
          <w:szCs w:val="20"/>
        </w:rPr>
        <w:tab/>
      </w:r>
    </w:p>
    <w:p w14:paraId="752E4532" w14:textId="6B2B7D66" w:rsidR="008F154F" w:rsidRPr="008F154F" w:rsidRDefault="008F154F" w:rsidP="008F154F">
      <w:pPr>
        <w:spacing w:after="120"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8F154F">
        <w:rPr>
          <w:rFonts w:asciiTheme="minorHAnsi" w:hAnsiTheme="minorHAnsi" w:cs="Arial"/>
          <w:b/>
          <w:bCs/>
          <w:sz w:val="20"/>
          <w:szCs w:val="20"/>
          <w:u w:val="single"/>
        </w:rPr>
        <w:t>Gli operatori che hanno già dato risposta al questionario generale pubblicato da Consip in data 26 febbraio 2019 possono rispondere esclusivamente alla parte specifica.</w:t>
      </w:r>
    </w:p>
    <w:p w14:paraId="25666BAF" w14:textId="54344B01" w:rsidR="007A7651" w:rsidRDefault="007A765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A7651">
        <w:rPr>
          <w:rFonts w:asciiTheme="minorHAnsi" w:hAnsiTheme="minorHAnsi" w:cs="Arial"/>
          <w:bCs/>
          <w:sz w:val="20"/>
          <w:szCs w:val="20"/>
        </w:rPr>
        <w:t xml:space="preserve">Alla presentazione del questionario seguirà una seconda fase di consultazione, organizzando un incontro </w:t>
      </w:r>
      <w:r w:rsidRPr="007A7651">
        <w:rPr>
          <w:rFonts w:asciiTheme="minorHAnsi" w:hAnsiTheme="minorHAnsi" w:cs="Arial"/>
          <w:bCs/>
          <w:i/>
          <w:sz w:val="20"/>
          <w:szCs w:val="20"/>
        </w:rPr>
        <w:t>one to one</w:t>
      </w:r>
      <w:r w:rsidRPr="007A7651">
        <w:rPr>
          <w:rFonts w:asciiTheme="minorHAnsi" w:hAnsiTheme="minorHAnsi" w:cs="Arial"/>
          <w:bCs/>
          <w:sz w:val="20"/>
          <w:szCs w:val="20"/>
        </w:rPr>
        <w:t xml:space="preserve"> presso la nostra sede.</w:t>
      </w:r>
    </w:p>
    <w:p w14:paraId="516BC228" w14:textId="16145751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0F6A0929" w14:textId="03CD7DEE" w:rsidR="009C71E0" w:rsidRPr="009C71E0" w:rsidRDefault="009C71E0" w:rsidP="009C71E0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C71E0">
        <w:rPr>
          <w:rFonts w:asciiTheme="minorHAnsi" w:hAnsiTheme="minorHAnsi" w:cs="Arial"/>
          <w:bCs/>
          <w:sz w:val="20"/>
          <w:szCs w:val="20"/>
        </w:rPr>
        <w:t xml:space="preserve">Le domande seguenti sono finalizzate a raccogliere informazioni di mercato riguardanti </w:t>
      </w:r>
      <w:r>
        <w:rPr>
          <w:rFonts w:asciiTheme="minorHAnsi" w:hAnsiTheme="minorHAnsi" w:cs="Arial"/>
          <w:bCs/>
          <w:sz w:val="20"/>
          <w:szCs w:val="20"/>
        </w:rPr>
        <w:t>la gara di prossima pubblicazione</w:t>
      </w:r>
      <w:r w:rsidRPr="009C71E0">
        <w:rPr>
          <w:rFonts w:asciiTheme="minorHAnsi" w:hAnsiTheme="minorHAnsi" w:cs="Arial"/>
          <w:bCs/>
          <w:sz w:val="20"/>
          <w:szCs w:val="20"/>
        </w:rPr>
        <w:t xml:space="preserve"> nell’ambito del Disciplinare siglato tra il MiBAC</w:t>
      </w:r>
      <w:r>
        <w:rPr>
          <w:rFonts w:asciiTheme="minorHAnsi" w:hAnsiTheme="minorHAnsi" w:cs="Arial"/>
          <w:bCs/>
          <w:sz w:val="20"/>
          <w:szCs w:val="20"/>
        </w:rPr>
        <w:t>T</w:t>
      </w:r>
      <w:r w:rsidRPr="009C71E0">
        <w:rPr>
          <w:rFonts w:asciiTheme="minorHAnsi" w:hAnsiTheme="minorHAnsi" w:cs="Arial"/>
          <w:bCs/>
          <w:sz w:val="20"/>
          <w:szCs w:val="20"/>
        </w:rPr>
        <w:t xml:space="preserve"> e la Consip S.p.A., </w:t>
      </w:r>
      <w:r>
        <w:rPr>
          <w:rFonts w:asciiTheme="minorHAnsi" w:hAnsiTheme="minorHAnsi" w:cs="Arial"/>
          <w:bCs/>
          <w:sz w:val="20"/>
          <w:szCs w:val="20"/>
        </w:rPr>
        <w:t>per l’affidamento presso le Gallerie degli Uffizi, i Musei del Polo Museale della Toscana e l’Opificio delle Pietre Dure, dei</w:t>
      </w:r>
      <w:r w:rsidRPr="009C71E0">
        <w:rPr>
          <w:rFonts w:asciiTheme="minorHAnsi" w:hAnsiTheme="minorHAnsi" w:cs="Arial"/>
          <w:bCs/>
          <w:sz w:val="20"/>
          <w:szCs w:val="20"/>
        </w:rPr>
        <w:t xml:space="preserve"> servizi di assistenza alla visi</w:t>
      </w:r>
      <w:r>
        <w:rPr>
          <w:rFonts w:asciiTheme="minorHAnsi" w:hAnsiTheme="minorHAnsi" w:cs="Arial"/>
          <w:bCs/>
          <w:sz w:val="20"/>
          <w:szCs w:val="20"/>
        </w:rPr>
        <w:t>ta e di ospitalità al pubblico</w:t>
      </w:r>
      <w:r w:rsidR="00794973">
        <w:rPr>
          <w:rFonts w:asciiTheme="minorHAnsi" w:hAnsiTheme="minorHAnsi" w:cs="Arial"/>
          <w:bCs/>
          <w:sz w:val="20"/>
          <w:szCs w:val="20"/>
        </w:rPr>
        <w:t>, ai sensi dell'</w:t>
      </w:r>
      <w:r w:rsidR="008B5478">
        <w:rPr>
          <w:rFonts w:asciiTheme="minorHAnsi" w:hAnsiTheme="minorHAnsi" w:cs="Arial"/>
          <w:bCs/>
          <w:sz w:val="20"/>
          <w:szCs w:val="20"/>
        </w:rPr>
        <w:t xml:space="preserve">art.117 </w:t>
      </w:r>
      <w:r w:rsidR="00794973">
        <w:rPr>
          <w:rFonts w:asciiTheme="minorHAnsi" w:hAnsiTheme="minorHAnsi" w:cs="Arial"/>
          <w:bCs/>
          <w:sz w:val="20"/>
          <w:szCs w:val="20"/>
        </w:rPr>
        <w:t xml:space="preserve">del </w:t>
      </w:r>
      <w:r w:rsidRPr="009C71E0">
        <w:rPr>
          <w:rFonts w:asciiTheme="minorHAnsi" w:hAnsiTheme="minorHAnsi" w:cs="Arial"/>
          <w:bCs/>
          <w:sz w:val="20"/>
          <w:szCs w:val="20"/>
        </w:rPr>
        <w:t>decret</w:t>
      </w:r>
      <w:r>
        <w:rPr>
          <w:rFonts w:asciiTheme="minorHAnsi" w:hAnsiTheme="minorHAnsi" w:cs="Arial"/>
          <w:bCs/>
          <w:sz w:val="20"/>
          <w:szCs w:val="20"/>
        </w:rPr>
        <w:t>o</w:t>
      </w:r>
      <w:r w:rsidRPr="009C71E0">
        <w:rPr>
          <w:rFonts w:asciiTheme="minorHAnsi" w:hAnsiTheme="minorHAnsi" w:cs="Arial"/>
          <w:bCs/>
          <w:sz w:val="20"/>
          <w:szCs w:val="20"/>
        </w:rPr>
        <w:t xml:space="preserve"> leg</w:t>
      </w:r>
      <w:r w:rsidR="00794973">
        <w:rPr>
          <w:rFonts w:asciiTheme="minorHAnsi" w:hAnsiTheme="minorHAnsi" w:cs="Arial"/>
          <w:bCs/>
          <w:sz w:val="20"/>
          <w:szCs w:val="20"/>
        </w:rPr>
        <w:t>islativo 22 gennaio 2004, n. 42.</w:t>
      </w:r>
    </w:p>
    <w:p w14:paraId="741E578F" w14:textId="77777777" w:rsidR="00794973" w:rsidRPr="00794973" w:rsidRDefault="00794973" w:rsidP="00794973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94973">
        <w:rPr>
          <w:rFonts w:asciiTheme="minorHAnsi" w:hAnsiTheme="minorHAnsi" w:cs="Arial"/>
          <w:bCs/>
          <w:sz w:val="20"/>
          <w:szCs w:val="20"/>
        </w:rPr>
        <w:t xml:space="preserve">La </w:t>
      </w:r>
      <w:r>
        <w:rPr>
          <w:rFonts w:asciiTheme="minorHAnsi" w:hAnsiTheme="minorHAnsi" w:cs="Arial"/>
          <w:bCs/>
          <w:sz w:val="20"/>
          <w:szCs w:val="20"/>
        </w:rPr>
        <w:t>futura gara potrà riguardare</w:t>
      </w:r>
      <w:r w:rsidRPr="00794973">
        <w:rPr>
          <w:rFonts w:asciiTheme="minorHAnsi" w:hAnsiTheme="minorHAnsi" w:cs="Arial"/>
          <w:bCs/>
          <w:sz w:val="20"/>
          <w:szCs w:val="20"/>
        </w:rPr>
        <w:t xml:space="preserve"> l’esecuzione da parte del Concess</w:t>
      </w:r>
      <w:r>
        <w:rPr>
          <w:rFonts w:asciiTheme="minorHAnsi" w:hAnsiTheme="minorHAnsi" w:cs="Arial"/>
          <w:bCs/>
          <w:sz w:val="20"/>
          <w:szCs w:val="20"/>
        </w:rPr>
        <w:t>ionario delle seguenti attività</w:t>
      </w:r>
      <w:r w:rsidRPr="00794973">
        <w:rPr>
          <w:rFonts w:asciiTheme="minorHAnsi" w:hAnsiTheme="minorHAnsi" w:cs="Arial"/>
          <w:bCs/>
          <w:sz w:val="20"/>
          <w:szCs w:val="20"/>
        </w:rPr>
        <w:t>:</w:t>
      </w:r>
    </w:p>
    <w:p w14:paraId="4B120973" w14:textId="70498FF0" w:rsidR="00794973" w:rsidRPr="009F4F04" w:rsidRDefault="00794973" w:rsidP="009F4F04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F4F04">
        <w:rPr>
          <w:rFonts w:asciiTheme="minorHAnsi" w:hAnsiTheme="minorHAnsi" w:cs="Arial"/>
          <w:bCs/>
          <w:sz w:val="20"/>
          <w:szCs w:val="20"/>
        </w:rPr>
        <w:t>servizi di biglietteria, informazioni e accoglienza (informazioni e orientamento dei visitatori, biglietteria fisica e off site, controllo accessi);</w:t>
      </w:r>
    </w:p>
    <w:p w14:paraId="0E016E67" w14:textId="11BB2EDA" w:rsidR="00794973" w:rsidRPr="009F4F04" w:rsidRDefault="00794973" w:rsidP="009F4F04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F4F04">
        <w:rPr>
          <w:rFonts w:asciiTheme="minorHAnsi" w:hAnsiTheme="minorHAnsi" w:cs="Arial"/>
          <w:bCs/>
          <w:sz w:val="20"/>
          <w:szCs w:val="20"/>
        </w:rPr>
        <w:t>servizi di assistenza alla visita (servizio di noleggio e distribuzione audio/video guide – inclusa la realizzazione dei contenuti - e radioguide, servizio di assistenza sala, visite guidate e attività didattiche);</w:t>
      </w:r>
    </w:p>
    <w:p w14:paraId="5C2CB72E" w14:textId="4D6AE9DA" w:rsidR="009F4F04" w:rsidRPr="009F4F04" w:rsidRDefault="009F4F04" w:rsidP="009F4F04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F4F04">
        <w:rPr>
          <w:rFonts w:asciiTheme="minorHAnsi" w:hAnsiTheme="minorHAnsi" w:cs="Arial"/>
          <w:bCs/>
          <w:sz w:val="20"/>
          <w:szCs w:val="20"/>
        </w:rPr>
        <w:t>servizio di organizzazione eventi</w:t>
      </w:r>
      <w:r>
        <w:rPr>
          <w:rFonts w:asciiTheme="minorHAnsi" w:hAnsiTheme="minorHAnsi" w:cs="Arial"/>
          <w:bCs/>
          <w:sz w:val="20"/>
          <w:szCs w:val="20"/>
        </w:rPr>
        <w:t xml:space="preserve"> per i Musei del Polo museale della Toscana</w:t>
      </w:r>
      <w:r w:rsidRPr="009F4F04">
        <w:rPr>
          <w:rFonts w:asciiTheme="minorHAnsi" w:hAnsiTheme="minorHAnsi" w:cs="Arial"/>
          <w:bCs/>
          <w:sz w:val="20"/>
          <w:szCs w:val="20"/>
        </w:rPr>
        <w:t>;</w:t>
      </w:r>
    </w:p>
    <w:p w14:paraId="67F50EED" w14:textId="33465BF5" w:rsidR="00794973" w:rsidRPr="009F4F04" w:rsidRDefault="00794973" w:rsidP="009F4F04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F4F04">
        <w:rPr>
          <w:rFonts w:asciiTheme="minorHAnsi" w:hAnsiTheme="minorHAnsi" w:cs="Arial"/>
          <w:bCs/>
          <w:sz w:val="20"/>
          <w:szCs w:val="20"/>
        </w:rPr>
        <w:t>servizio di bookshop.</w:t>
      </w:r>
    </w:p>
    <w:p w14:paraId="5BBBCB7A" w14:textId="398ABDC8" w:rsidR="007A7651" w:rsidRDefault="007A7651" w:rsidP="00794973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26F6219" w14:textId="673DA8A0" w:rsidR="007F3F84" w:rsidRDefault="007F3F84">
      <w:pPr>
        <w:rPr>
          <w:rFonts w:asciiTheme="minorHAnsi" w:hAnsiTheme="minorHAnsi" w:cs="Arial"/>
          <w:bCs/>
          <w:color w:val="FF0000"/>
          <w:sz w:val="20"/>
          <w:szCs w:val="20"/>
        </w:rPr>
      </w:pPr>
      <w:r>
        <w:rPr>
          <w:rFonts w:asciiTheme="minorHAnsi" w:hAnsiTheme="minorHAnsi" w:cs="Arial"/>
          <w:bCs/>
          <w:color w:val="FF0000"/>
          <w:sz w:val="20"/>
          <w:szCs w:val="20"/>
        </w:rPr>
        <w:br w:type="page"/>
      </w:r>
    </w:p>
    <w:p w14:paraId="2D99B963" w14:textId="08D951A0" w:rsidR="00122B75" w:rsidRPr="007A7651" w:rsidRDefault="00122B75" w:rsidP="007F3F84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  <w:r w:rsidRPr="007A7651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Domande – Questionario generale</w:t>
      </w:r>
      <w:r w:rsidR="00D74A9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D74A9C" w:rsidRPr="00D74A9C">
        <w:rPr>
          <w:rFonts w:asciiTheme="minorHAnsi" w:hAnsiTheme="minorHAnsi" w:cs="Arial"/>
          <w:bCs/>
          <w:sz w:val="22"/>
          <w:szCs w:val="22"/>
        </w:rPr>
        <w:t>(</w:t>
      </w:r>
      <w:r w:rsidR="00D74A9C" w:rsidRPr="00D74A9C">
        <w:rPr>
          <w:rFonts w:asciiTheme="minorHAnsi" w:hAnsiTheme="minorHAnsi" w:cs="Arial"/>
          <w:bCs/>
          <w:i/>
          <w:sz w:val="22"/>
          <w:szCs w:val="22"/>
        </w:rPr>
        <w:t>da compilare solo dalle aziende che non hanno risposto al questionario pubblicato in data 26/02/2019</w:t>
      </w:r>
      <w:r w:rsidR="00D74A9C" w:rsidRPr="00D74A9C">
        <w:rPr>
          <w:rFonts w:asciiTheme="minorHAnsi" w:hAnsiTheme="minorHAnsi" w:cs="Arial"/>
          <w:bCs/>
          <w:sz w:val="22"/>
          <w:szCs w:val="22"/>
        </w:rPr>
        <w:t>)</w:t>
      </w:r>
    </w:p>
    <w:p w14:paraId="6F3B443F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FB605F3" w14:textId="78CB53EB" w:rsidR="00C920CC" w:rsidRDefault="00D2474C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fatturato </w:t>
      </w:r>
      <w:r w:rsidR="00411CB4">
        <w:rPr>
          <w:rFonts w:asciiTheme="minorHAnsi" w:hAnsiTheme="minorHAnsi" w:cs="Arial"/>
          <w:bCs/>
          <w:sz w:val="20"/>
          <w:szCs w:val="20"/>
        </w:rPr>
        <w:t xml:space="preserve">specifico </w:t>
      </w:r>
      <w:r>
        <w:rPr>
          <w:rFonts w:asciiTheme="minorHAnsi" w:hAnsiTheme="minorHAnsi" w:cs="Arial"/>
          <w:bCs/>
          <w:sz w:val="20"/>
          <w:szCs w:val="20"/>
        </w:rPr>
        <w:t xml:space="preserve">sostenuto dall’azienda per la fornitura </w:t>
      </w:r>
      <w:r w:rsidR="00794973">
        <w:rPr>
          <w:rFonts w:asciiTheme="minorHAnsi" w:hAnsiTheme="minorHAnsi" w:cs="Arial"/>
          <w:bCs/>
          <w:sz w:val="20"/>
          <w:szCs w:val="20"/>
        </w:rPr>
        <w:t>d</w:t>
      </w:r>
      <w:r w:rsidR="00BC5005">
        <w:rPr>
          <w:rFonts w:asciiTheme="minorHAnsi" w:hAnsiTheme="minorHAnsi" w:cs="Arial"/>
          <w:bCs/>
          <w:sz w:val="20"/>
          <w:szCs w:val="20"/>
        </w:rPr>
        <w:t>e</w:t>
      </w:r>
      <w:r w:rsidR="00794973">
        <w:rPr>
          <w:rFonts w:asciiTheme="minorHAnsi" w:hAnsiTheme="minorHAnsi" w:cs="Arial"/>
          <w:bCs/>
          <w:sz w:val="20"/>
          <w:szCs w:val="20"/>
        </w:rPr>
        <w:t>i servizi museali</w:t>
      </w:r>
      <w:r w:rsidRPr="00411CB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11CB4">
        <w:rPr>
          <w:rFonts w:asciiTheme="minorHAnsi" w:hAnsiTheme="minorHAnsi" w:cs="Arial"/>
          <w:bCs/>
          <w:sz w:val="20"/>
          <w:szCs w:val="20"/>
        </w:rPr>
        <w:t>oggetto di gara</w:t>
      </w:r>
      <w:r w:rsidR="00411CB4" w:rsidRPr="00411CB4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nel triennio precedente all’anno corrente (</w:t>
      </w:r>
      <w:r w:rsidR="002B7ED1">
        <w:rPr>
          <w:rFonts w:asciiTheme="minorHAnsi" w:hAnsiTheme="minorHAnsi" w:cs="Arial"/>
          <w:bCs/>
          <w:sz w:val="20"/>
          <w:szCs w:val="20"/>
        </w:rPr>
        <w:t xml:space="preserve">Anno questionario </w:t>
      </w:r>
      <w:r w:rsidR="00C222B8">
        <w:rPr>
          <w:rFonts w:asciiTheme="minorHAnsi" w:hAnsiTheme="minorHAnsi" w:cs="Arial"/>
          <w:bCs/>
          <w:sz w:val="20"/>
          <w:szCs w:val="20"/>
        </w:rPr>
        <w:t>“</w:t>
      </w:r>
      <w:r w:rsidR="002B7ED1">
        <w:rPr>
          <w:rFonts w:asciiTheme="minorHAnsi" w:hAnsiTheme="minorHAnsi" w:cs="Arial"/>
          <w:bCs/>
          <w:sz w:val="20"/>
          <w:szCs w:val="20"/>
        </w:rPr>
        <w:t>-3</w:t>
      </w:r>
      <w:r w:rsidR="00C222B8">
        <w:rPr>
          <w:rFonts w:asciiTheme="minorHAnsi" w:hAnsiTheme="minorHAnsi" w:cs="Arial"/>
          <w:bCs/>
          <w:sz w:val="20"/>
          <w:szCs w:val="20"/>
        </w:rPr>
        <w:t>”</w:t>
      </w:r>
      <w:r w:rsidR="002B7ED1">
        <w:rPr>
          <w:rFonts w:asciiTheme="minorHAnsi" w:hAnsiTheme="minorHAnsi" w:cs="Arial"/>
          <w:bCs/>
          <w:sz w:val="20"/>
          <w:szCs w:val="20"/>
        </w:rPr>
        <w:t>/</w:t>
      </w:r>
      <w:r w:rsidR="00AB0CD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B7ED1">
        <w:rPr>
          <w:rFonts w:asciiTheme="minorHAnsi" w:hAnsiTheme="minorHAnsi" w:cs="Arial"/>
          <w:bCs/>
          <w:sz w:val="20"/>
          <w:szCs w:val="20"/>
        </w:rPr>
        <w:t xml:space="preserve">Anno questionario </w:t>
      </w:r>
      <w:r w:rsidR="00C222B8">
        <w:rPr>
          <w:rFonts w:asciiTheme="minorHAnsi" w:hAnsiTheme="minorHAnsi" w:cs="Arial"/>
          <w:bCs/>
          <w:sz w:val="20"/>
          <w:szCs w:val="20"/>
        </w:rPr>
        <w:t>“</w:t>
      </w:r>
      <w:r w:rsidR="002B7ED1">
        <w:rPr>
          <w:rFonts w:asciiTheme="minorHAnsi" w:hAnsiTheme="minorHAnsi" w:cs="Arial"/>
          <w:bCs/>
          <w:sz w:val="20"/>
          <w:szCs w:val="20"/>
        </w:rPr>
        <w:t>-1</w:t>
      </w:r>
      <w:r w:rsidR="00C222B8">
        <w:rPr>
          <w:rFonts w:asciiTheme="minorHAnsi" w:hAnsiTheme="minorHAnsi" w:cs="Arial"/>
          <w:bCs/>
          <w:sz w:val="20"/>
          <w:szCs w:val="20"/>
        </w:rPr>
        <w:t>”</w:t>
      </w:r>
      <w:r>
        <w:rPr>
          <w:rFonts w:asciiTheme="minorHAnsi" w:hAnsiTheme="minorHAnsi" w:cs="Arial"/>
          <w:bCs/>
          <w:sz w:val="20"/>
          <w:szCs w:val="20"/>
        </w:rPr>
        <w:t>)</w:t>
      </w:r>
      <w:r w:rsidR="002B7ED1">
        <w:rPr>
          <w:rFonts w:asciiTheme="minorHAnsi" w:hAnsiTheme="minorHAnsi" w:cs="Arial"/>
          <w:bCs/>
          <w:sz w:val="20"/>
          <w:szCs w:val="20"/>
        </w:rPr>
        <w:t xml:space="preserve"> eventualmente suddiviso nelle varie attività costituenti l’oggetto principale</w:t>
      </w:r>
      <w:r w:rsidR="00666FB7">
        <w:rPr>
          <w:rFonts w:asciiTheme="minorHAnsi" w:hAnsiTheme="minorHAnsi" w:cs="Arial"/>
          <w:bCs/>
          <w:sz w:val="20"/>
          <w:szCs w:val="20"/>
        </w:rPr>
        <w:t xml:space="preserve"> (biglietteria, visite guidate, didattica, audio/video guide, bookshop)</w:t>
      </w:r>
      <w:r w:rsidR="002B7ED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237ACAF" w14:textId="77777777" w:rsidR="00BC5005" w:rsidRDefault="00BC5005" w:rsidP="00BC5005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5473AC5" w14:textId="574737E2" w:rsidR="002B7ED1" w:rsidRDefault="00411CB4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 riferimento alla fornitura dei servizi oggetto di gara, potreste descrivere le vostre esperienze, specificando quali sono i committenti, i servizi svolti, la durata del servizio ed eventuali criticità riscontrate?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2075"/>
        <w:gridCol w:w="2041"/>
        <w:gridCol w:w="2047"/>
        <w:gridCol w:w="2048"/>
      </w:tblGrid>
      <w:tr w:rsidR="00411CB4" w14:paraId="0697FC24" w14:textId="77777777" w:rsidTr="00411CB4">
        <w:tc>
          <w:tcPr>
            <w:tcW w:w="2123" w:type="dxa"/>
            <w:shd w:val="clear" w:color="auto" w:fill="F2F2F2" w:themeFill="background1" w:themeFillShade="F2"/>
          </w:tcPr>
          <w:p w14:paraId="5380F3EB" w14:textId="2B35B843" w:rsidR="00411CB4" w:rsidRPr="00411CB4" w:rsidRDefault="00411CB4" w:rsidP="00411CB4">
            <w:pPr>
              <w:spacing w:after="12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1C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Committente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14:paraId="151A5511" w14:textId="7F73E662" w:rsidR="00411CB4" w:rsidRPr="00411CB4" w:rsidRDefault="00411CB4" w:rsidP="00411CB4">
            <w:pPr>
              <w:spacing w:after="12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1C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Servizi svolti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2E3E26B9" w14:textId="647A2146" w:rsidR="00411CB4" w:rsidRPr="00411CB4" w:rsidRDefault="00411CB4" w:rsidP="00411CB4">
            <w:pPr>
              <w:spacing w:after="12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1C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Durata del servizio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21604DDE" w14:textId="60B62DB2" w:rsidR="00411CB4" w:rsidRPr="00411CB4" w:rsidRDefault="00411CB4" w:rsidP="00411CB4">
            <w:pPr>
              <w:spacing w:after="12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1C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Criticità</w:t>
            </w:r>
          </w:p>
        </w:tc>
      </w:tr>
      <w:tr w:rsidR="00411CB4" w14:paraId="23921AE1" w14:textId="77777777" w:rsidTr="00411CB4">
        <w:tc>
          <w:tcPr>
            <w:tcW w:w="2123" w:type="dxa"/>
            <w:shd w:val="clear" w:color="auto" w:fill="F2F2F2" w:themeFill="background1" w:themeFillShade="F2"/>
          </w:tcPr>
          <w:p w14:paraId="0FB0B74A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09744CEE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4DB7FF08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26BFB511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1CB4" w14:paraId="5852ACF0" w14:textId="77777777" w:rsidTr="00411CB4">
        <w:tc>
          <w:tcPr>
            <w:tcW w:w="2123" w:type="dxa"/>
            <w:shd w:val="clear" w:color="auto" w:fill="F2F2F2" w:themeFill="background1" w:themeFillShade="F2"/>
          </w:tcPr>
          <w:p w14:paraId="371DEB14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11D020BB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78845DD4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09107B31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1CB4" w14:paraId="5347E3D9" w14:textId="77777777" w:rsidTr="00411CB4">
        <w:tc>
          <w:tcPr>
            <w:tcW w:w="2123" w:type="dxa"/>
            <w:shd w:val="clear" w:color="auto" w:fill="F2F2F2" w:themeFill="background1" w:themeFillShade="F2"/>
          </w:tcPr>
          <w:p w14:paraId="6E020536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5E8EE765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2B4FF46B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356087D6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1CB4" w14:paraId="1B9408F9" w14:textId="77777777" w:rsidTr="00411CB4">
        <w:tc>
          <w:tcPr>
            <w:tcW w:w="2123" w:type="dxa"/>
            <w:shd w:val="clear" w:color="auto" w:fill="F2F2F2" w:themeFill="background1" w:themeFillShade="F2"/>
          </w:tcPr>
          <w:p w14:paraId="48F2A325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1F699072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2FD71C43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6A640EAE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1CB4" w14:paraId="02E6C061" w14:textId="77777777" w:rsidTr="00411CB4">
        <w:tc>
          <w:tcPr>
            <w:tcW w:w="2123" w:type="dxa"/>
            <w:shd w:val="clear" w:color="auto" w:fill="F2F2F2" w:themeFill="background1" w:themeFillShade="F2"/>
          </w:tcPr>
          <w:p w14:paraId="27150BE6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6D7636D7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6B22D076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31A43089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1CB4" w14:paraId="6BF8D976" w14:textId="77777777" w:rsidTr="00411CB4">
        <w:tc>
          <w:tcPr>
            <w:tcW w:w="2123" w:type="dxa"/>
            <w:shd w:val="clear" w:color="auto" w:fill="F2F2F2" w:themeFill="background1" w:themeFillShade="F2"/>
          </w:tcPr>
          <w:p w14:paraId="5D047C95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102C5026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0F0B8A7D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48CC983B" w14:textId="77777777" w:rsidR="00411CB4" w:rsidRDefault="00411CB4" w:rsidP="00411CB4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BF5220E" w14:textId="1286FA6E" w:rsidR="009D4460" w:rsidRDefault="009D4460" w:rsidP="00A50DA9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362859BD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791C47E" w14:textId="2F31D6E9" w:rsidR="00411CB4" w:rsidRDefault="00411CB4" w:rsidP="00411CB4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quale forma di partecipazione avete eventualmente partecipato alle precedenti iniziative bandite da Consip per servizi analoghi, e quali servizi avete erogato?  </w:t>
      </w:r>
    </w:p>
    <w:p w14:paraId="260E7466" w14:textId="77777777" w:rsidR="00411CB4" w:rsidRPr="00512D58" w:rsidRDefault="00411CB4" w:rsidP="00411CB4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426B98C1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316ECC4" w14:textId="6741C414" w:rsidR="007F3F84" w:rsidRDefault="007F3F8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6740190" w14:textId="77777777" w:rsidR="007A7651" w:rsidRPr="00512D58" w:rsidRDefault="007A7651" w:rsidP="007A7651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Relativamente ai servizi da voi forniti quali sono, a vostro parere, le eventuali innovazioni / migliorie rispetto alle gare già bandite che possono contribuire a una maggiore qualità del servizio?</w:t>
      </w:r>
    </w:p>
    <w:p w14:paraId="610C1665" w14:textId="17142BA5" w:rsidR="007A7651" w:rsidRDefault="007A765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DB0991" w14:textId="1EE57274" w:rsidR="007A7651" w:rsidRDefault="007A765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FF3167C" w14:textId="77777777" w:rsidR="007A7651" w:rsidRPr="00512D58" w:rsidRDefault="007A7651" w:rsidP="007A7651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A7651" w14:paraId="03E8F618" w14:textId="77777777" w:rsidTr="00F702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BB2580D" w14:textId="77777777" w:rsidR="007A7651" w:rsidRDefault="007A7651" w:rsidP="00F702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7AC5FA3" w14:textId="2B4C5A61" w:rsidR="007F3F84" w:rsidRDefault="007F3F8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D9622D" w14:textId="77777777" w:rsidR="007A7651" w:rsidRDefault="007A7651" w:rsidP="007A765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70C5927" w14:textId="020F6D1B" w:rsidR="007A7651" w:rsidRDefault="007A7651" w:rsidP="007A765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A7651">
        <w:rPr>
          <w:rFonts w:asciiTheme="minorHAnsi" w:hAnsiTheme="minorHAnsi" w:cs="Arial"/>
          <w:b/>
          <w:bCs/>
          <w:sz w:val="22"/>
          <w:szCs w:val="22"/>
          <w:u w:val="single"/>
        </w:rPr>
        <w:t>Domande – Questionario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specifico</w:t>
      </w:r>
    </w:p>
    <w:p w14:paraId="742B37B0" w14:textId="77777777" w:rsidR="007A7651" w:rsidRPr="007A7651" w:rsidRDefault="007A7651" w:rsidP="007A765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63DA3E11" w14:textId="77777777" w:rsidR="006F67F1" w:rsidRPr="00C75E00" w:rsidRDefault="006F67F1" w:rsidP="006F67F1">
      <w:pPr>
        <w:numPr>
          <w:ilvl w:val="0"/>
          <w:numId w:val="45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Sareste interessati a partecipare alla gara in oggetto? Se no, quali sono le motivazioni principali?</w:t>
      </w:r>
    </w:p>
    <w:p w14:paraId="4DA4B2FA" w14:textId="51A64230" w:rsidR="007F3F84" w:rsidRPr="00512D58" w:rsidRDefault="007F3F84" w:rsidP="00411CB4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F3F84" w14:paraId="4089732C" w14:textId="77777777" w:rsidTr="00F702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DFD1132" w14:textId="77777777" w:rsidR="007F3F84" w:rsidRDefault="007F3F84" w:rsidP="00F702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B3406EB" w14:textId="77777777" w:rsidR="007F3F84" w:rsidRDefault="007F3F8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871C144" w14:textId="77777777" w:rsidR="006F67F1" w:rsidRDefault="006F67F1" w:rsidP="006F67F1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3D32BD3" w14:textId="13E7B82C" w:rsidR="006F67F1" w:rsidRPr="006F67F1" w:rsidRDefault="006F67F1" w:rsidP="006F67F1">
      <w:pPr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Ritenete che tramite la realizzazione a cura del Concessionario di iniziative/attività promozionali e/o servizi logistici (es. navetta circolare) si possa migliorare la valorizzazione e incrementare la fruizione dei siti culturali meno visitati e/o più distanti tra quelli oggetto di gara? Se no, quali sono le motivazioni principali?</w:t>
      </w:r>
    </w:p>
    <w:p w14:paraId="03F15269" w14:textId="77777777" w:rsidR="00010852" w:rsidRPr="006F67F1" w:rsidRDefault="00010852" w:rsidP="006F67F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10852" w14:paraId="1CF65A70" w14:textId="77777777" w:rsidTr="00F702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BF3399E" w14:textId="77777777" w:rsidR="00010852" w:rsidRDefault="00010852" w:rsidP="00F702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45A4360" w14:textId="6E0D3C02" w:rsidR="007F3F84" w:rsidRDefault="007F3F8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C41124" w14:textId="77777777" w:rsidR="007A5FF7" w:rsidRDefault="007A5FF7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8105CB8" w14:textId="4BE63C16" w:rsidR="009F4F04" w:rsidRDefault="009F4F04" w:rsidP="009F4F04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Avete esperienze pregresse nell’ambito dell’organizzazione di eventi presso siti culturali? Se sì, riportarle di seguito con una breve descrizione.</w:t>
      </w:r>
    </w:p>
    <w:p w14:paraId="56C1E425" w14:textId="77777777" w:rsidR="009F4F04" w:rsidRPr="00512D58" w:rsidRDefault="009F4F04" w:rsidP="009F4F04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F4F04" w14:paraId="0EA72A8D" w14:textId="77777777" w:rsidTr="00F702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75A4F75" w14:textId="77777777" w:rsidR="009F4F04" w:rsidRDefault="009F4F04" w:rsidP="00F702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6F83DA9" w14:textId="77777777" w:rsidR="009F4F04" w:rsidRDefault="009F4F0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9B45B42" w14:textId="77777777" w:rsidR="00010852" w:rsidRDefault="00010852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1F8FA7B" w14:textId="1CA21A54" w:rsidR="0045036F" w:rsidRDefault="0045036F" w:rsidP="0045036F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Riportare eventuali criticità nell’utilizzo di </w:t>
      </w:r>
      <w:r w:rsidRPr="007A5FF7">
        <w:rPr>
          <w:rFonts w:asciiTheme="minorHAnsi" w:hAnsiTheme="minorHAnsi" w:cs="Arial"/>
          <w:bCs/>
          <w:i/>
          <w:sz w:val="20"/>
          <w:szCs w:val="20"/>
        </w:rPr>
        <w:t>Ticket Vending Machine</w:t>
      </w:r>
      <w:r>
        <w:rPr>
          <w:rFonts w:asciiTheme="minorHAnsi" w:hAnsiTheme="minorHAnsi" w:cs="Arial"/>
          <w:bCs/>
          <w:sz w:val="20"/>
          <w:szCs w:val="20"/>
        </w:rPr>
        <w:t xml:space="preserve"> in luogo delle biglietterie fisiche e possibili soluzioni.</w:t>
      </w:r>
    </w:p>
    <w:p w14:paraId="47ADEDB7" w14:textId="77777777" w:rsidR="0045036F" w:rsidRPr="00512D58" w:rsidRDefault="0045036F" w:rsidP="0045036F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5036F" w14:paraId="769B0A78" w14:textId="77777777" w:rsidTr="00F702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68565B0" w14:textId="77777777" w:rsidR="0045036F" w:rsidRDefault="0045036F" w:rsidP="00F702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DF9D2E8" w14:textId="595DE2B5" w:rsidR="0045036F" w:rsidRPr="0045036F" w:rsidRDefault="0045036F" w:rsidP="0045036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11F601F" w14:textId="77777777" w:rsidR="0045036F" w:rsidRPr="0045036F" w:rsidRDefault="0045036F" w:rsidP="0045036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E27196" w14:textId="627143AD" w:rsidR="00024E65" w:rsidRDefault="00024E65" w:rsidP="00666FB7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base alle vostre esperienze, per ciascuno dei seguenti servizi:</w:t>
      </w:r>
    </w:p>
    <w:p w14:paraId="2E3E3B5C" w14:textId="7DE34BF8" w:rsidR="00024E65" w:rsidRDefault="00024E65" w:rsidP="00633568">
      <w:pPr>
        <w:pStyle w:val="Paragrafoelenco"/>
        <w:numPr>
          <w:ilvl w:val="0"/>
          <w:numId w:val="47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Biglietteria</w:t>
      </w:r>
      <w:r w:rsidR="00633568">
        <w:rPr>
          <w:rFonts w:asciiTheme="minorHAnsi" w:hAnsiTheme="minorHAnsi" w:cs="Arial"/>
          <w:bCs/>
          <w:sz w:val="20"/>
          <w:szCs w:val="20"/>
        </w:rPr>
        <w:t xml:space="preserve"> e accoglienza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14:paraId="00B3D8D9" w14:textId="5AC45051" w:rsidR="00024E65" w:rsidRDefault="00024E65" w:rsidP="00633568">
      <w:pPr>
        <w:pStyle w:val="Paragrafoelenco"/>
        <w:numPr>
          <w:ilvl w:val="0"/>
          <w:numId w:val="47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Informazioni;</w:t>
      </w:r>
    </w:p>
    <w:p w14:paraId="4AE3672F" w14:textId="3983A5BB" w:rsidR="00024E65" w:rsidRDefault="00024E65" w:rsidP="00633568">
      <w:pPr>
        <w:pStyle w:val="Paragrafoelenco"/>
        <w:numPr>
          <w:ilvl w:val="0"/>
          <w:numId w:val="47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Call Center;</w:t>
      </w:r>
    </w:p>
    <w:p w14:paraId="0A79CE74" w14:textId="06BDB9D8" w:rsidR="00024E65" w:rsidRDefault="00024E65" w:rsidP="00633568">
      <w:pPr>
        <w:pStyle w:val="Paragrafoelenco"/>
        <w:numPr>
          <w:ilvl w:val="0"/>
          <w:numId w:val="47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Visite Guidate;</w:t>
      </w:r>
    </w:p>
    <w:p w14:paraId="378F4C57" w14:textId="4204359F" w:rsidR="00024E65" w:rsidRDefault="00024E65" w:rsidP="00633568">
      <w:pPr>
        <w:pStyle w:val="Paragrafoelenco"/>
        <w:numPr>
          <w:ilvl w:val="0"/>
          <w:numId w:val="47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Didattica;</w:t>
      </w:r>
    </w:p>
    <w:p w14:paraId="3689DEF1" w14:textId="42041CE5" w:rsidR="00633568" w:rsidRDefault="00633568" w:rsidP="00633568">
      <w:pPr>
        <w:pStyle w:val="Paragrafoelenco"/>
        <w:numPr>
          <w:ilvl w:val="0"/>
          <w:numId w:val="47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Assistenza sala;</w:t>
      </w:r>
    </w:p>
    <w:p w14:paraId="738F5841" w14:textId="678F2404" w:rsidR="00024E65" w:rsidRDefault="00024E65" w:rsidP="00633568">
      <w:pPr>
        <w:pStyle w:val="Paragrafoelenco"/>
        <w:numPr>
          <w:ilvl w:val="0"/>
          <w:numId w:val="47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Bookshop</w:t>
      </w:r>
      <w:r w:rsidR="00633568">
        <w:rPr>
          <w:rFonts w:asciiTheme="minorHAnsi" w:hAnsiTheme="minorHAnsi" w:cs="Arial"/>
          <w:bCs/>
          <w:sz w:val="20"/>
          <w:szCs w:val="20"/>
        </w:rPr>
        <w:t>;</w:t>
      </w:r>
    </w:p>
    <w:p w14:paraId="7965A1AA" w14:textId="3AC13A52" w:rsidR="00633568" w:rsidRDefault="00633568" w:rsidP="0063356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qual è il livello linguistico, a</w:t>
      </w:r>
      <w:r w:rsidRPr="00633568">
        <w:rPr>
          <w:rFonts w:asciiTheme="minorHAnsi" w:hAnsiTheme="minorHAnsi" w:cs="Arial"/>
          <w:bCs/>
          <w:sz w:val="20"/>
          <w:szCs w:val="20"/>
        </w:rPr>
        <w:t>i sensi del Quadro Comune Europeo di riferimento per la conoscenza delle lingue (QCER)</w:t>
      </w:r>
      <w:r>
        <w:rPr>
          <w:rFonts w:asciiTheme="minorHAnsi" w:hAnsiTheme="minorHAnsi" w:cs="Arial"/>
          <w:bCs/>
          <w:sz w:val="20"/>
          <w:szCs w:val="20"/>
        </w:rPr>
        <w:t>, minimo necessario per garantire un adeguato livello qualitativo?</w:t>
      </w:r>
    </w:p>
    <w:p w14:paraId="2686C81D" w14:textId="77777777" w:rsidR="00633568" w:rsidRPr="00512D58" w:rsidRDefault="00633568" w:rsidP="00633568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33568" w14:paraId="731416A7" w14:textId="77777777" w:rsidTr="00F702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BB7BE81" w14:textId="77777777" w:rsidR="00633568" w:rsidRDefault="00633568" w:rsidP="00F702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A81BAFA" w14:textId="23984FEB" w:rsidR="00633568" w:rsidRDefault="00633568" w:rsidP="0063356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3EAA70" w14:textId="77777777" w:rsidR="00CA0612" w:rsidRDefault="00CA0612" w:rsidP="0063356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2CD41C" w14:textId="62D0E43B" w:rsidR="00633568" w:rsidRDefault="003A75BF" w:rsidP="00633568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base alle vostre esperienze, qual è il tasso di utilizzo di App di supporto alla visita rispetto a quello dei dispositivi audio e video guide “tradizionali”?</w:t>
      </w:r>
    </w:p>
    <w:p w14:paraId="77D22789" w14:textId="77777777" w:rsidR="00633568" w:rsidRPr="00512D58" w:rsidRDefault="00633568" w:rsidP="00633568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33568" w14:paraId="433037E6" w14:textId="77777777" w:rsidTr="00F702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443AC27" w14:textId="77777777" w:rsidR="00633568" w:rsidRDefault="00633568" w:rsidP="00F702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84077FB" w14:textId="77777777" w:rsidR="00633568" w:rsidRPr="00633568" w:rsidRDefault="00633568" w:rsidP="0063356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88338A6" w14:textId="1EB1EE4B" w:rsidR="00633568" w:rsidRDefault="00633568" w:rsidP="00633568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0F7AE1" w14:textId="77777777" w:rsidR="00633568" w:rsidRPr="00633568" w:rsidRDefault="00633568" w:rsidP="00633568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072A832" w14:textId="354E047D" w:rsidR="007F3F84" w:rsidRDefault="007F3F84" w:rsidP="00666FB7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</w:t>
      </w:r>
      <w:r w:rsidR="00010852">
        <w:rPr>
          <w:rFonts w:asciiTheme="minorHAnsi" w:hAnsiTheme="minorHAnsi" w:cs="Arial"/>
          <w:bCs/>
          <w:sz w:val="20"/>
          <w:szCs w:val="20"/>
        </w:rPr>
        <w:t>vet</w:t>
      </w:r>
      <w:r>
        <w:rPr>
          <w:rFonts w:asciiTheme="minorHAnsi" w:hAnsiTheme="minorHAnsi" w:cs="Arial"/>
          <w:bCs/>
          <w:sz w:val="20"/>
          <w:szCs w:val="20"/>
        </w:rPr>
        <w:t>e indicazioni o commenti da fornire in merito ai servizi oggetto</w:t>
      </w:r>
      <w:r w:rsidR="006F67F1">
        <w:rPr>
          <w:rFonts w:asciiTheme="minorHAnsi" w:hAnsiTheme="minorHAnsi" w:cs="Arial"/>
          <w:bCs/>
          <w:sz w:val="20"/>
          <w:szCs w:val="20"/>
        </w:rPr>
        <w:t xml:space="preserve"> della gara</w:t>
      </w:r>
      <w:r>
        <w:rPr>
          <w:rFonts w:asciiTheme="minorHAnsi" w:hAnsiTheme="minorHAnsi" w:cs="Arial"/>
          <w:bCs/>
          <w:sz w:val="20"/>
          <w:szCs w:val="20"/>
        </w:rPr>
        <w:t xml:space="preserve">?  </w:t>
      </w:r>
    </w:p>
    <w:p w14:paraId="222BABBF" w14:textId="77777777" w:rsidR="00C75E00" w:rsidRPr="00512D58" w:rsidRDefault="00C75E00" w:rsidP="00C75E00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F3F84" w14:paraId="5BF1162B" w14:textId="77777777" w:rsidTr="00F702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9AB4E8C" w14:textId="77777777" w:rsidR="007F3F84" w:rsidRDefault="007F3F84" w:rsidP="00F702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8D211EC" w14:textId="24203881" w:rsidR="007F3F84" w:rsidRDefault="007F3F8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3246A15" w14:textId="77777777" w:rsidR="00010852" w:rsidRDefault="00010852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4C7E603" w14:textId="5FC4FC68" w:rsidR="00C75E00" w:rsidRDefault="00C75E00" w:rsidP="00666FB7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ulteriori elementi / informazioni che possono essere utili per lo sviluppo dell’iniziativa.</w:t>
      </w:r>
    </w:p>
    <w:p w14:paraId="03CFAAFB" w14:textId="77777777" w:rsidR="00C75E00" w:rsidRPr="00512D58" w:rsidRDefault="00C75E00" w:rsidP="00C75E00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75E00" w14:paraId="16326DB8" w14:textId="77777777" w:rsidTr="00F702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0DF00E7" w14:textId="77777777" w:rsidR="00C75E00" w:rsidRDefault="00C75E00" w:rsidP="00F702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388DF22" w14:textId="2AB759CB" w:rsidR="007F3F84" w:rsidRDefault="007F3F8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FC9291" w14:textId="77777777" w:rsidR="00411CB4" w:rsidRDefault="00411CB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511DC08" w14:textId="08F9F45A" w:rsidR="007F3F84" w:rsidRDefault="007F3F8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81FC7A8" w14:textId="77777777" w:rsidR="007A5FF7" w:rsidRDefault="007A5FF7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59DB006" w14:textId="77777777" w:rsidR="00BC5005" w:rsidRDefault="00BC5005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123B4AAC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6F39C" w14:textId="77777777" w:rsidR="00230741" w:rsidRDefault="00230741">
      <w:r>
        <w:separator/>
      </w:r>
    </w:p>
  </w:endnote>
  <w:endnote w:type="continuationSeparator" w:id="0">
    <w:p w14:paraId="591BB5F4" w14:textId="77777777" w:rsidR="00230741" w:rsidRDefault="00230741">
      <w:r>
        <w:continuationSeparator/>
      </w:r>
    </w:p>
  </w:endnote>
  <w:endnote w:type="continuationNotice" w:id="1">
    <w:p w14:paraId="49A96E6A" w14:textId="77777777" w:rsidR="00230741" w:rsidRDefault="00230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1E8A6CA1" w:rsidR="006726F6" w:rsidRPr="00E06C79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9C71E0">
      <w:rPr>
        <w:rFonts w:asciiTheme="minorHAnsi" w:hAnsiTheme="minorHAnsi"/>
        <w:iCs/>
        <w:color w:val="C0C0C0"/>
        <w:sz w:val="16"/>
        <w:szCs w:val="16"/>
      </w:rPr>
      <w:t xml:space="preserve">Consultazione del mercato per la </w:t>
    </w:r>
    <w:r w:rsidR="009C71E0" w:rsidRPr="009C71E0">
      <w:rPr>
        <w:rFonts w:asciiTheme="minorHAnsi" w:hAnsiTheme="minorHAnsi"/>
        <w:iCs/>
        <w:color w:val="C0C0C0"/>
        <w:sz w:val="16"/>
        <w:szCs w:val="16"/>
      </w:rPr>
      <w:t>GARA PER L’AFFIDAMENTO IN CONCESSIONE DEI SERVIZI MUSEALI PRESSO LE GALLERIE DEGLI UFFIZI, I MUSEI DEL POLO MUSEALE DELLA TOSCANA E IL MUSEO DELL’OPIFICIO DELLE PIETRE DURE</w:t>
    </w:r>
  </w:p>
  <w:p w14:paraId="475E50B8" w14:textId="3F7630DC" w:rsidR="006726F6" w:rsidRPr="00E06C79" w:rsidRDefault="009C71E0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247D27DA">
              <wp:simplePos x="0" y="0"/>
              <wp:positionH relativeFrom="column">
                <wp:posOffset>5122291</wp:posOffset>
              </wp:positionH>
              <wp:positionV relativeFrom="paragraph">
                <wp:posOffset>8686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1D39FFDB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574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574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03.35pt;margin-top:.7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" stroked="f">
              <v:textbox>
                <w:txbxContent>
                  <w:p w14:paraId="3C0DE10B" w14:textId="1D39FFDB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1574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1574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="00962189"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962189"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962189"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B682B2A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34877" w14:textId="505B96DD" w:rsidR="006726F6" w:rsidRPr="006E6EEE" w:rsidRDefault="006726F6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gg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mm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14:paraId="42AFDCC4" w14:textId="77777777" w:rsidR="006726F6" w:rsidRPr="006E6EEE" w:rsidRDefault="006726F6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14:paraId="55734877" w14:textId="505B96DD" w:rsidR="006726F6" w:rsidRPr="006E6EEE" w:rsidRDefault="006726F6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gg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mm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14:paraId="42AFDCC4" w14:textId="77777777" w:rsidR="006726F6" w:rsidRPr="006E6EEE" w:rsidRDefault="006726F6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Capitale Sociale € 5.200.000,00 i.v.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Iscr.Reg.Imp.c/o C.I.I.A. Roma 05359681003 Iscr.R.E.A.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0A07A" w14:textId="77777777" w:rsidR="00230741" w:rsidRDefault="00230741">
      <w:r>
        <w:separator/>
      </w:r>
    </w:p>
  </w:footnote>
  <w:footnote w:type="continuationSeparator" w:id="0">
    <w:p w14:paraId="006FC31F" w14:textId="77777777" w:rsidR="00230741" w:rsidRDefault="00230741">
      <w:r>
        <w:continuationSeparator/>
      </w:r>
    </w:p>
  </w:footnote>
  <w:footnote w:type="continuationNotice" w:id="1">
    <w:p w14:paraId="5D4B3FAA" w14:textId="77777777" w:rsidR="00230741" w:rsidRDefault="002307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571343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7C6EF0"/>
    <w:multiLevelType w:val="hybridMultilevel"/>
    <w:tmpl w:val="65FC03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106AF"/>
    <w:multiLevelType w:val="hybridMultilevel"/>
    <w:tmpl w:val="35EC238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5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07170"/>
    <w:multiLevelType w:val="hybridMultilevel"/>
    <w:tmpl w:val="6AB078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B41CD"/>
    <w:multiLevelType w:val="hybridMultilevel"/>
    <w:tmpl w:val="38DEFB1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9"/>
  </w:num>
  <w:num w:numId="10">
    <w:abstractNumId w:val="33"/>
  </w:num>
  <w:num w:numId="11">
    <w:abstractNumId w:val="27"/>
  </w:num>
  <w:num w:numId="12">
    <w:abstractNumId w:val="25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6"/>
  </w:num>
  <w:num w:numId="19">
    <w:abstractNumId w:val="17"/>
  </w:num>
  <w:num w:numId="20">
    <w:abstractNumId w:val="40"/>
  </w:num>
  <w:num w:numId="21">
    <w:abstractNumId w:val="41"/>
  </w:num>
  <w:num w:numId="22">
    <w:abstractNumId w:val="15"/>
  </w:num>
  <w:num w:numId="23">
    <w:abstractNumId w:val="5"/>
  </w:num>
  <w:num w:numId="24">
    <w:abstractNumId w:val="42"/>
  </w:num>
  <w:num w:numId="25">
    <w:abstractNumId w:val="10"/>
  </w:num>
  <w:num w:numId="26">
    <w:abstractNumId w:val="21"/>
  </w:num>
  <w:num w:numId="27">
    <w:abstractNumId w:val="22"/>
  </w:num>
  <w:num w:numId="28">
    <w:abstractNumId w:val="7"/>
  </w:num>
  <w:num w:numId="29">
    <w:abstractNumId w:val="11"/>
  </w:num>
  <w:num w:numId="30">
    <w:abstractNumId w:val="28"/>
  </w:num>
  <w:num w:numId="31">
    <w:abstractNumId w:val="39"/>
  </w:num>
  <w:num w:numId="32">
    <w:abstractNumId w:val="37"/>
  </w:num>
  <w:num w:numId="33">
    <w:abstractNumId w:val="35"/>
  </w:num>
  <w:num w:numId="34">
    <w:abstractNumId w:val="13"/>
  </w:num>
  <w:num w:numId="35">
    <w:abstractNumId w:val="23"/>
  </w:num>
  <w:num w:numId="36">
    <w:abstractNumId w:val="24"/>
  </w:num>
  <w:num w:numId="37">
    <w:abstractNumId w:val="4"/>
  </w:num>
  <w:num w:numId="38">
    <w:abstractNumId w:val="20"/>
  </w:num>
  <w:num w:numId="39">
    <w:abstractNumId w:val="18"/>
  </w:num>
  <w:num w:numId="40">
    <w:abstractNumId w:val="38"/>
  </w:num>
  <w:num w:numId="41">
    <w:abstractNumId w:val="14"/>
  </w:num>
  <w:num w:numId="42">
    <w:abstractNumId w:val="24"/>
  </w:num>
  <w:num w:numId="43">
    <w:abstractNumId w:val="34"/>
  </w:num>
  <w:num w:numId="44">
    <w:abstractNumId w:val="36"/>
  </w:num>
  <w:num w:numId="45">
    <w:abstractNumId w:val="6"/>
  </w:num>
  <w:num w:numId="46">
    <w:abstractNumId w:val="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0852"/>
    <w:rsid w:val="000121D9"/>
    <w:rsid w:val="00017FA6"/>
    <w:rsid w:val="00022FBC"/>
    <w:rsid w:val="000239D9"/>
    <w:rsid w:val="0002469D"/>
    <w:rsid w:val="00024E65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B7D5F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30741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A75BF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CB4"/>
    <w:rsid w:val="00411E26"/>
    <w:rsid w:val="004130CF"/>
    <w:rsid w:val="00414DA3"/>
    <w:rsid w:val="00425CAA"/>
    <w:rsid w:val="0045036F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2D58"/>
    <w:rsid w:val="00514EB8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3568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6FB7"/>
    <w:rsid w:val="006672C7"/>
    <w:rsid w:val="006705D1"/>
    <w:rsid w:val="0067215C"/>
    <w:rsid w:val="006726F6"/>
    <w:rsid w:val="00675316"/>
    <w:rsid w:val="00690D9D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67F1"/>
    <w:rsid w:val="006F796A"/>
    <w:rsid w:val="00705F8D"/>
    <w:rsid w:val="007100E3"/>
    <w:rsid w:val="00710245"/>
    <w:rsid w:val="007117DC"/>
    <w:rsid w:val="007144D3"/>
    <w:rsid w:val="0071574C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94973"/>
    <w:rsid w:val="007A144B"/>
    <w:rsid w:val="007A2DA8"/>
    <w:rsid w:val="007A5FF7"/>
    <w:rsid w:val="007A725C"/>
    <w:rsid w:val="007A7651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3F84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B5478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54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C71E0"/>
    <w:rsid w:val="009D4460"/>
    <w:rsid w:val="009D5874"/>
    <w:rsid w:val="009E002C"/>
    <w:rsid w:val="009E4512"/>
    <w:rsid w:val="009E6B94"/>
    <w:rsid w:val="009F4F04"/>
    <w:rsid w:val="009F50B9"/>
    <w:rsid w:val="009F5155"/>
    <w:rsid w:val="009F5A5B"/>
    <w:rsid w:val="00A10220"/>
    <w:rsid w:val="00A107C0"/>
    <w:rsid w:val="00A143BD"/>
    <w:rsid w:val="00A1686E"/>
    <w:rsid w:val="00A25A40"/>
    <w:rsid w:val="00A25B79"/>
    <w:rsid w:val="00A377DE"/>
    <w:rsid w:val="00A4017B"/>
    <w:rsid w:val="00A47703"/>
    <w:rsid w:val="00A50DA9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14A7"/>
    <w:rsid w:val="00AF7F35"/>
    <w:rsid w:val="00B02EBA"/>
    <w:rsid w:val="00B05673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A71F1"/>
    <w:rsid w:val="00BB3CC6"/>
    <w:rsid w:val="00BB3D28"/>
    <w:rsid w:val="00BB4433"/>
    <w:rsid w:val="00BC1A12"/>
    <w:rsid w:val="00BC2589"/>
    <w:rsid w:val="00BC5005"/>
    <w:rsid w:val="00BC6312"/>
    <w:rsid w:val="00BD4952"/>
    <w:rsid w:val="00BE19B5"/>
    <w:rsid w:val="00BE2716"/>
    <w:rsid w:val="00BF13C1"/>
    <w:rsid w:val="00BF1E03"/>
    <w:rsid w:val="00BF387E"/>
    <w:rsid w:val="00C00FB8"/>
    <w:rsid w:val="00C03125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75E00"/>
    <w:rsid w:val="00C842BF"/>
    <w:rsid w:val="00C87109"/>
    <w:rsid w:val="00C91A01"/>
    <w:rsid w:val="00C920CC"/>
    <w:rsid w:val="00C93E96"/>
    <w:rsid w:val="00C93FFD"/>
    <w:rsid w:val="00C944D1"/>
    <w:rsid w:val="00CA0612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14AC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4A9C"/>
    <w:rsid w:val="00D837DB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A25A40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B72F-CC3E-401D-85F4-EBE66782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2020-02-12T17:33:00Z</dcterms:created>
  <dcterms:modified xsi:type="dcterms:W3CDTF">2020-02-13T16:38:00Z</dcterms:modified>
</cp:coreProperties>
</file>